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40"/>
        </w:rPr>
      </w:pPr>
      <w:r>
        <w:rPr>
          <w:rFonts w:hint="eastAsia" w:ascii="方正小标宋简体" w:hAnsi="方正小标宋简体" w:eastAsia="方正小标宋简体" w:cs="方正小标宋简体"/>
          <w:b w:val="0"/>
          <w:bCs w:val="0"/>
          <w:sz w:val="32"/>
          <w:szCs w:val="40"/>
        </w:rPr>
        <w:t>合作共建教育</w:t>
      </w:r>
      <w:r>
        <w:rPr>
          <w:rFonts w:hint="eastAsia" w:ascii="方正小标宋简体" w:hAnsi="方正小标宋简体" w:eastAsia="方正小标宋简体" w:cs="方正小标宋简体"/>
          <w:b w:val="0"/>
          <w:bCs w:val="0"/>
          <w:sz w:val="32"/>
          <w:szCs w:val="40"/>
          <w:lang w:eastAsia="zh-CN"/>
        </w:rPr>
        <w:t>实践</w:t>
      </w:r>
      <w:r>
        <w:rPr>
          <w:rFonts w:hint="eastAsia" w:ascii="方正小标宋简体" w:hAnsi="方正小标宋简体" w:eastAsia="方正小标宋简体" w:cs="方正小标宋简体"/>
          <w:b w:val="0"/>
          <w:bCs w:val="0"/>
          <w:sz w:val="32"/>
          <w:szCs w:val="40"/>
        </w:rPr>
        <w:t>基地协议书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36"/>
          <w:lang w:val="en-US" w:eastAsia="zh-CN"/>
        </w:rPr>
      </w:pPr>
      <w:r>
        <w:rPr>
          <w:rFonts w:hint="eastAsia" w:ascii="仿宋" w:hAnsi="仿宋" w:eastAsia="仿宋" w:cs="仿宋"/>
          <w:sz w:val="28"/>
          <w:szCs w:val="36"/>
        </w:rPr>
        <w:t>甲方:</w:t>
      </w:r>
      <w:r>
        <w:rPr>
          <w:rFonts w:hint="eastAsia" w:ascii="仿宋" w:hAnsi="仿宋" w:eastAsia="仿宋" w:cs="仿宋"/>
          <w:sz w:val="28"/>
          <w:szCs w:val="36"/>
          <w:lang w:eastAsia="zh-CN"/>
        </w:rPr>
        <w:t>泉州师范</w:t>
      </w:r>
      <w:r>
        <w:rPr>
          <w:rFonts w:hint="eastAsia" w:ascii="仿宋" w:hAnsi="仿宋" w:eastAsia="仿宋" w:cs="仿宋"/>
          <w:sz w:val="28"/>
          <w:szCs w:val="36"/>
        </w:rPr>
        <w:t>学院</w:t>
      </w:r>
      <w:r>
        <w:rPr>
          <w:rFonts w:hint="eastAsia" w:ascii="仿宋" w:hAnsi="仿宋" w:eastAsia="仿宋" w:cs="仿宋"/>
          <w:sz w:val="28"/>
          <w:szCs w:val="36"/>
          <w:lang w:val="en-US" w:eastAsia="zh-CN"/>
        </w:rPr>
        <w:t>** 学院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36"/>
          <w:lang w:val="en-US" w:eastAsia="zh-CN"/>
        </w:rPr>
      </w:pPr>
      <w:r>
        <w:rPr>
          <w:rFonts w:hint="eastAsia" w:ascii="仿宋" w:hAnsi="仿宋" w:eastAsia="仿宋" w:cs="仿宋"/>
          <w:sz w:val="28"/>
          <w:szCs w:val="36"/>
        </w:rPr>
        <w:t>乙方</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培养和造就高素质专业化创新型教师队伍是教育行政部门、高校和中小学、幼儿园的共同使命。教育实践是师范院校培养合格教师的重要环节。为落实《教育部关于加强师范生教育实践的意见》（教师〔2016〕2号）精神，保证师范生的培养质量，在友好协商、平等</w:t>
      </w:r>
      <w:r>
        <w:rPr>
          <w:rFonts w:hint="eastAsia" w:ascii="仿宋" w:hAnsi="仿宋" w:eastAsia="仿宋" w:cs="仿宋"/>
          <w:sz w:val="28"/>
          <w:szCs w:val="36"/>
        </w:rPr>
        <w:t>自愿的基础上，甲</w:t>
      </w:r>
      <w:r>
        <w:rPr>
          <w:rFonts w:hint="eastAsia" w:ascii="仿宋" w:hAnsi="仿宋" w:eastAsia="仿宋" w:cs="仿宋"/>
          <w:sz w:val="28"/>
          <w:szCs w:val="36"/>
          <w:lang w:eastAsia="zh-CN"/>
        </w:rPr>
        <w:t>、</w:t>
      </w:r>
      <w:r>
        <w:rPr>
          <w:rFonts w:hint="eastAsia" w:ascii="仿宋" w:hAnsi="仿宋" w:eastAsia="仿宋" w:cs="仿宋"/>
          <w:sz w:val="28"/>
          <w:szCs w:val="36"/>
        </w:rPr>
        <w:t>乙双方</w:t>
      </w:r>
      <w:r>
        <w:rPr>
          <w:rFonts w:hint="eastAsia" w:ascii="仿宋" w:hAnsi="仿宋" w:eastAsia="仿宋" w:cs="仿宋"/>
          <w:sz w:val="28"/>
          <w:szCs w:val="36"/>
          <w:lang w:eastAsia="zh-CN"/>
        </w:rPr>
        <w:t>就共建教育实践基地</w:t>
      </w:r>
      <w:r>
        <w:rPr>
          <w:rFonts w:hint="eastAsia" w:ascii="仿宋" w:hAnsi="仿宋" w:eastAsia="仿宋" w:cs="仿宋"/>
          <w:sz w:val="28"/>
          <w:szCs w:val="36"/>
        </w:rPr>
        <w:t>达成如下协议</w:t>
      </w:r>
      <w:r>
        <w:rPr>
          <w:rFonts w:hint="eastAsia" w:ascii="仿宋" w:hAnsi="仿宋" w:eastAsia="仿宋" w:cs="仿宋"/>
          <w:sz w:val="28"/>
          <w:szCs w:val="36"/>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36"/>
          <w:lang w:eastAsia="zh-CN"/>
        </w:rPr>
      </w:pPr>
      <w:r>
        <w:rPr>
          <w:rFonts w:hint="eastAsia" w:ascii="黑体" w:hAnsi="黑体" w:eastAsia="黑体" w:cs="黑体"/>
          <w:sz w:val="28"/>
          <w:szCs w:val="36"/>
          <w:lang w:eastAsia="zh-CN"/>
        </w:rPr>
        <w:t>一、合作原则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eastAsia="zh-CN"/>
        </w:rPr>
        <w:t>本着“优势互补、资源共享、互惠双赢、共同发展”的原则，</w:t>
      </w:r>
      <w:r>
        <w:rPr>
          <w:rFonts w:hint="eastAsia" w:ascii="仿宋" w:hAnsi="仿宋" w:eastAsia="仿宋" w:cs="仿宋"/>
          <w:sz w:val="28"/>
          <w:szCs w:val="36"/>
          <w:lang w:val="en-US" w:eastAsia="zh-CN"/>
        </w:rPr>
        <w:t>在师范生教育实践、教师培训、教育教学研究、基地学校发展等多方面建立合作共赢的长效机制。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二、合作内容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1.</w:t>
      </w:r>
      <w:r>
        <w:rPr>
          <w:rFonts w:hint="eastAsia" w:ascii="仿宋" w:hAnsi="仿宋" w:eastAsia="仿宋" w:cs="仿宋"/>
          <w:sz w:val="28"/>
          <w:szCs w:val="36"/>
          <w:lang w:eastAsia="zh-CN"/>
        </w:rPr>
        <w:t>甲方依托乙方设立教育实践基地，对外挂牌“泉州师范学院教育实践基地”。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2.</w:t>
      </w:r>
      <w:r>
        <w:rPr>
          <w:rFonts w:hint="eastAsia" w:ascii="仿宋" w:hAnsi="仿宋" w:eastAsia="仿宋" w:cs="仿宋"/>
          <w:sz w:val="28"/>
          <w:szCs w:val="36"/>
          <w:lang w:eastAsia="zh-CN"/>
        </w:rPr>
        <w:t>双方共同为师范生教育实践活动创造条件，乙方提供充足的实践岗位、充分的实践机会、有效的实践指导和安全健康的实践环境。</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3</w:t>
      </w:r>
      <w:r>
        <w:rPr>
          <w:rFonts w:hint="eastAsia" w:ascii="仿宋" w:hAnsi="仿宋" w:eastAsia="仿宋" w:cs="仿宋"/>
          <w:sz w:val="28"/>
          <w:szCs w:val="36"/>
          <w:lang w:eastAsia="zh-CN"/>
        </w:rPr>
        <w:t>.甲方应主动与乙方沟通，共同制定教育实践计划，并派出指导教师对实习生进行管理和指导。</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4.</w:t>
      </w:r>
      <w:r>
        <w:rPr>
          <w:rFonts w:hint="eastAsia" w:ascii="仿宋" w:hAnsi="仿宋" w:eastAsia="仿宋" w:cs="仿宋"/>
          <w:sz w:val="28"/>
          <w:szCs w:val="36"/>
          <w:lang w:eastAsia="zh-CN"/>
        </w:rPr>
        <w:t>乙方成立教育实践领导小组，为师范生选派有经验、责任心强的指导教师，指导甲方师范生开展各项教育实践活动。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5.乙方应根据教育发展的需要，对甲方的专业设置、课程设置、人才培养等方面提供建议和咨询。与甲方学生就业部门加强联系，及时向甲方提供教师需求方面的信息。</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6.根据甲方需求，乙方在不影响教学工作的前提下，选派优秀教师、优秀班主任到甲方作经验介绍。在条件相同的情况下，优先录用甲方的毕业生。</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7.</w:t>
      </w:r>
      <w:r>
        <w:rPr>
          <w:rFonts w:hint="eastAsia" w:ascii="仿宋" w:hAnsi="仿宋" w:eastAsia="仿宋" w:cs="仿宋"/>
          <w:sz w:val="28"/>
          <w:szCs w:val="36"/>
          <w:lang w:eastAsia="zh-CN"/>
        </w:rPr>
        <w:t>甲方为乙方的科研课题研究、基础教育课程改革、科技活动以及师资培养等方面提供一切必要和可能的优先支持和帮助。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8.双方探索“协同教研”“双向互聘”“岗位互换”等共同发展机制。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三、附则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1.为加强沟通和联系，甲、乙双方应明确联系人和联系方式，并通过不定期的会面研究解决合作过程中的问题。</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2.双方的具体合作项目可在本协议的基础上可另签协议:双方合作过程中因实习、培训、技术开发和咨询、生活安排、劳务等发生的费用，由双方本着“平等协商，互惠互利”的原则加以解决。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3.本协议有效期五年，协议期满可根据双方需要是否续签。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4.本协议一式三份，甲方二份，乙方一份，自双方签字、盖章之日生效。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甲方：泉州师范学院</w:t>
            </w:r>
            <w:r>
              <w:rPr>
                <w:rFonts w:hint="eastAsia" w:ascii="仿宋_GB2312" w:hAnsi="仿宋_GB2312" w:eastAsia="仿宋_GB2312" w:cs="仿宋_GB2312"/>
                <w:sz w:val="28"/>
                <w:szCs w:val="28"/>
                <w:lang w:val="en-US" w:eastAsia="zh-CN"/>
              </w:rPr>
              <w:t>**学院</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（盖章）</w:t>
            </w:r>
          </w:p>
        </w:tc>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 xml:space="preserve">代表：  </w:t>
            </w:r>
          </w:p>
        </w:tc>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 xml:space="preserve"> 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日期：   年    月    日</w:t>
            </w:r>
          </w:p>
        </w:tc>
        <w:tc>
          <w:tcPr>
            <w:tcW w:w="426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36"/>
                <w:vertAlign w:val="baseline"/>
                <w:lang w:val="en-US" w:eastAsia="zh-CN"/>
              </w:rPr>
            </w:pPr>
            <w:r>
              <w:rPr>
                <w:rFonts w:hint="eastAsia" w:ascii="仿宋_GB2312" w:hAnsi="仿宋_GB2312" w:eastAsia="仿宋_GB2312" w:cs="仿宋_GB2312"/>
                <w:sz w:val="28"/>
                <w:szCs w:val="28"/>
              </w:rPr>
              <w:t xml:space="preserve">  日期：   年    月    日</w:t>
            </w:r>
          </w:p>
        </w:tc>
      </w:tr>
    </w:tbl>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C034B"/>
    <w:rsid w:val="10D4556C"/>
    <w:rsid w:val="1B5A5084"/>
    <w:rsid w:val="25BC034B"/>
    <w:rsid w:val="2A7D7F44"/>
    <w:rsid w:val="3FB37492"/>
    <w:rsid w:val="53834ABF"/>
    <w:rsid w:val="56296730"/>
    <w:rsid w:val="57C06F46"/>
    <w:rsid w:val="63BE5A5D"/>
    <w:rsid w:val="65621B53"/>
    <w:rsid w:val="6CF07C04"/>
    <w:rsid w:val="6E594548"/>
    <w:rsid w:val="708F2E79"/>
    <w:rsid w:val="71121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hover20"/>
    <w:basedOn w:val="5"/>
    <w:qFormat/>
    <w:uiPriority w:val="0"/>
    <w:rPr>
      <w:color w:val="557EE7"/>
    </w:rPr>
  </w:style>
  <w:style w:type="character" w:customStyle="1" w:styleId="15">
    <w:name w:val="bsharetext"/>
    <w:basedOn w:val="5"/>
    <w:qFormat/>
    <w:uiPriority w:val="0"/>
  </w:style>
  <w:style w:type="character" w:customStyle="1" w:styleId="16">
    <w:name w:val="icon2"/>
    <w:basedOn w:val="5"/>
    <w:qFormat/>
    <w:uiPriority w:val="0"/>
  </w:style>
  <w:style w:type="character" w:customStyle="1" w:styleId="17">
    <w:name w:val="change-size"/>
    <w:basedOn w:val="5"/>
    <w:qFormat/>
    <w:uiPriority w:val="0"/>
    <w:rPr>
      <w:color w:val="CC0000"/>
    </w:rPr>
  </w:style>
  <w:style w:type="character" w:customStyle="1" w:styleId="18">
    <w:name w:val="icon3"/>
    <w:basedOn w:val="5"/>
    <w:qFormat/>
    <w:uiPriority w:val="0"/>
  </w:style>
  <w:style w:type="character" w:customStyle="1" w:styleId="19">
    <w:name w:val="icon1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2019-10-09T01:09:00Z</dcterms:created>
  <dc:creator>肖文江</dc:creator>
  <cp:lastModifiedBy>大大</cp:lastModifiedBy>
  <cp:lastPrinted>2019-10-09T06:42:00Z</cp:lastPrinted>
  <dcterms:modified xsi:type="dcterms:W3CDTF">2019-10-31T07:52:38Z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